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630FB" w14:textId="4DB5E3E0" w:rsidR="00BA00C4" w:rsidRPr="004729D1" w:rsidRDefault="00BA00C4" w:rsidP="00BA00C4">
      <w:pPr>
        <w:spacing w:before="100" w:beforeAutospacing="1" w:after="62" w:line="240" w:lineRule="auto"/>
        <w:jc w:val="center"/>
        <w:outlineLvl w:val="1"/>
        <w:rPr>
          <w:rFonts w:eastAsia="Times New Roman" w:cs="Arial"/>
          <w:b/>
          <w:bCs/>
          <w:iCs/>
          <w:sz w:val="28"/>
          <w:szCs w:val="28"/>
          <w:lang w:val="en-US" w:eastAsia="en-GB"/>
        </w:rPr>
      </w:pPr>
      <w:r w:rsidRPr="004729D1">
        <w:rPr>
          <w:rFonts w:eastAsia="Times New Roman" w:cs="Arial"/>
          <w:b/>
          <w:bCs/>
          <w:iCs/>
          <w:sz w:val="28"/>
          <w:szCs w:val="28"/>
          <w:lang w:val="en-US" w:eastAsia="en-GB"/>
        </w:rPr>
        <w:t xml:space="preserve">RISK REVIEW </w:t>
      </w:r>
      <w:proofErr w:type="gramStart"/>
      <w:r w:rsidRPr="004729D1">
        <w:rPr>
          <w:rFonts w:eastAsia="Times New Roman" w:cs="Arial"/>
          <w:b/>
          <w:bCs/>
          <w:iCs/>
          <w:sz w:val="28"/>
          <w:szCs w:val="28"/>
          <w:lang w:val="en-US" w:eastAsia="en-GB"/>
        </w:rPr>
        <w:t>SCHEDULE</w:t>
      </w:r>
      <w:r w:rsidRPr="004729D1">
        <w:rPr>
          <w:rFonts w:eastAsia="Times New Roman" w:cs="Arial"/>
          <w:b/>
          <w:bCs/>
          <w:iCs/>
          <w:sz w:val="18"/>
          <w:szCs w:val="18"/>
          <w:lang w:val="en-US" w:eastAsia="en-GB"/>
        </w:rPr>
        <w:t xml:space="preserve"> :</w:t>
      </w:r>
      <w:proofErr w:type="gramEnd"/>
      <w:r w:rsidRPr="004729D1">
        <w:rPr>
          <w:rFonts w:eastAsia="Times New Roman" w:cs="Arial"/>
          <w:b/>
          <w:bCs/>
          <w:iCs/>
          <w:sz w:val="18"/>
          <w:szCs w:val="18"/>
          <w:lang w:val="en-US" w:eastAsia="en-GB"/>
        </w:rPr>
        <w:t xml:space="preserve"> </w:t>
      </w:r>
      <w:r w:rsidR="006214F9">
        <w:rPr>
          <w:rFonts w:eastAsia="Times New Roman" w:cs="Arial"/>
          <w:b/>
          <w:bCs/>
          <w:iCs/>
          <w:sz w:val="28"/>
          <w:szCs w:val="28"/>
          <w:lang w:val="en-US" w:eastAsia="en-GB"/>
        </w:rPr>
        <w:t xml:space="preserve">Social </w:t>
      </w:r>
      <w:r w:rsidRPr="004729D1">
        <w:rPr>
          <w:rFonts w:eastAsia="Times New Roman" w:cs="Arial"/>
          <w:b/>
          <w:bCs/>
          <w:iCs/>
          <w:sz w:val="28"/>
          <w:szCs w:val="28"/>
          <w:lang w:val="en-US" w:eastAsia="en-GB"/>
        </w:rPr>
        <w:t xml:space="preserve">Committee </w:t>
      </w:r>
      <w:r w:rsidR="00115E5F">
        <w:rPr>
          <w:rFonts w:eastAsia="Times New Roman" w:cs="Arial"/>
          <w:b/>
          <w:bCs/>
          <w:iCs/>
          <w:sz w:val="28"/>
          <w:szCs w:val="28"/>
          <w:lang w:val="en-US" w:eastAsia="en-GB"/>
        </w:rPr>
        <w:t xml:space="preserve"> </w:t>
      </w:r>
      <w:proofErr w:type="spellStart"/>
      <w:r w:rsidR="00115E5F">
        <w:rPr>
          <w:rFonts w:eastAsia="Times New Roman" w:cs="Arial"/>
          <w:b/>
          <w:bCs/>
          <w:iCs/>
          <w:sz w:val="28"/>
          <w:szCs w:val="28"/>
          <w:lang w:val="en-US" w:eastAsia="en-GB"/>
        </w:rPr>
        <w:t>Ver</w:t>
      </w:r>
      <w:proofErr w:type="spellEnd"/>
      <w:r w:rsidR="00115E5F">
        <w:rPr>
          <w:rFonts w:eastAsia="Times New Roman" w:cs="Arial"/>
          <w:b/>
          <w:bCs/>
          <w:iCs/>
          <w:sz w:val="28"/>
          <w:szCs w:val="28"/>
          <w:lang w:val="en-US" w:eastAsia="en-GB"/>
        </w:rPr>
        <w:t xml:space="preserve"> </w:t>
      </w:r>
      <w:r w:rsidR="00B66D51">
        <w:rPr>
          <w:rFonts w:eastAsia="Times New Roman" w:cs="Arial"/>
          <w:b/>
          <w:bCs/>
          <w:iCs/>
          <w:sz w:val="28"/>
          <w:szCs w:val="28"/>
          <w:lang w:val="en-US" w:eastAsia="en-GB"/>
        </w:rPr>
        <w:t>10</w:t>
      </w:r>
      <w:r w:rsidR="00115E5F">
        <w:rPr>
          <w:rFonts w:eastAsia="Times New Roman" w:cs="Arial"/>
          <w:b/>
          <w:bCs/>
          <w:iCs/>
          <w:sz w:val="28"/>
          <w:szCs w:val="28"/>
          <w:lang w:val="en-US" w:eastAsia="en-GB"/>
        </w:rPr>
        <w:t xml:space="preserve">.0 </w:t>
      </w:r>
      <w:r w:rsidR="00B66D51">
        <w:rPr>
          <w:rFonts w:eastAsia="Times New Roman" w:cs="Arial"/>
          <w:b/>
          <w:bCs/>
          <w:iCs/>
          <w:sz w:val="28"/>
          <w:szCs w:val="28"/>
          <w:lang w:val="en-US" w:eastAsia="en-GB"/>
        </w:rPr>
        <w:t>Nov 2021</w:t>
      </w:r>
    </w:p>
    <w:p w14:paraId="0391CEC0" w14:textId="77777777" w:rsidR="00BA00C4" w:rsidRPr="004729D1" w:rsidRDefault="00BA00C4"/>
    <w:tbl>
      <w:tblPr>
        <w:tblW w:w="15860" w:type="dxa"/>
        <w:tblInd w:w="4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669"/>
        <w:gridCol w:w="1683"/>
        <w:gridCol w:w="6695"/>
        <w:gridCol w:w="2613"/>
        <w:gridCol w:w="676"/>
        <w:gridCol w:w="985"/>
        <w:gridCol w:w="980"/>
      </w:tblGrid>
      <w:tr w:rsidR="00D53FAC" w:rsidRPr="002B148E" w14:paraId="63184CB3" w14:textId="77777777" w:rsidTr="00A02EA7">
        <w:trPr>
          <w:trHeight w:val="284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54CC2" w14:textId="77777777" w:rsidR="00D53FAC" w:rsidRPr="002B148E" w:rsidRDefault="00D53FAC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E5A03" w14:textId="77777777" w:rsidR="00D53FAC" w:rsidRPr="002B148E" w:rsidRDefault="00D53FAC" w:rsidP="0042575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2B148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What are the hazards?</w:t>
            </w:r>
          </w:p>
          <w:p w14:paraId="69DFED05" w14:textId="77777777" w:rsidR="00D53FAC" w:rsidRPr="002B148E" w:rsidRDefault="00D53FAC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4C10B" w14:textId="77777777" w:rsidR="00D53FAC" w:rsidRPr="002B148E" w:rsidRDefault="00D53FAC" w:rsidP="0042575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2B148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Who might be harmed and how?</w:t>
            </w:r>
          </w:p>
          <w:p w14:paraId="3BBE8FE0" w14:textId="77777777" w:rsidR="00BA00C4" w:rsidRPr="002B148E" w:rsidRDefault="00BA00C4" w:rsidP="0042575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245CA" w14:textId="77777777" w:rsidR="00D53FAC" w:rsidRPr="002B148E" w:rsidRDefault="00D53FAC" w:rsidP="0042575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2B148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What are you already doing?</w:t>
            </w:r>
          </w:p>
          <w:p w14:paraId="245C1FD1" w14:textId="77777777" w:rsidR="00BA00C4" w:rsidRPr="002B148E" w:rsidRDefault="00BA00C4" w:rsidP="0042575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6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D48B3" w14:textId="77777777" w:rsidR="00D53FAC" w:rsidRPr="002B148E" w:rsidRDefault="00D53FAC" w:rsidP="0042575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2B148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Do you need to do anything else to control this risk?</w:t>
            </w:r>
          </w:p>
          <w:p w14:paraId="331AE893" w14:textId="77777777" w:rsidR="00BA00C4" w:rsidRPr="002B148E" w:rsidRDefault="00BA00C4" w:rsidP="0042575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591876" w14:textId="77777777" w:rsidR="00D53FAC" w:rsidRPr="002B148E" w:rsidRDefault="00D53FAC" w:rsidP="0042575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2B148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Action by who?</w:t>
            </w:r>
          </w:p>
          <w:p w14:paraId="370C1E2A" w14:textId="77777777" w:rsidR="00BA00C4" w:rsidRPr="002B148E" w:rsidRDefault="00BA00C4" w:rsidP="0042575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E0D0B" w14:textId="77777777" w:rsidR="00D53FAC" w:rsidRPr="002B148E" w:rsidRDefault="00D53FAC" w:rsidP="0042575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2B148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Action by when?</w:t>
            </w:r>
          </w:p>
          <w:p w14:paraId="55774C64" w14:textId="77777777" w:rsidR="00BA00C4" w:rsidRPr="002B148E" w:rsidRDefault="00BA00C4" w:rsidP="0042575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A79A9" w14:textId="77777777" w:rsidR="00D53FAC" w:rsidRPr="002B148E" w:rsidRDefault="00D53FAC" w:rsidP="0042575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2B148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Done</w:t>
            </w:r>
          </w:p>
          <w:p w14:paraId="78DA205B" w14:textId="77777777" w:rsidR="00BA00C4" w:rsidRPr="002B148E" w:rsidRDefault="00BA00C4" w:rsidP="0042575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D53FAC" w:rsidRPr="002B148E" w14:paraId="4D591591" w14:textId="77777777" w:rsidTr="00A02EA7">
        <w:trPr>
          <w:trHeight w:val="284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362CB" w14:textId="193C7440" w:rsidR="00D53FAC" w:rsidRPr="002B148E" w:rsidRDefault="00D53FAC" w:rsidP="00C678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148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05BA8" w:rsidRPr="002B148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1D193" w14:textId="26F137DC" w:rsidR="00D53FAC" w:rsidRPr="002B148E" w:rsidRDefault="00C20EFE" w:rsidP="00C678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Burns and </w:t>
            </w:r>
            <w:r w:rsidR="002B148E" w:rsidRPr="002B148E">
              <w:rPr>
                <w:rFonts w:asciiTheme="minorHAnsi" w:hAnsiTheme="minorHAnsi" w:cstheme="minorHAnsi"/>
                <w:sz w:val="24"/>
                <w:szCs w:val="24"/>
              </w:rPr>
              <w:t>Scalds from hot water</w:t>
            </w:r>
            <w:r w:rsidR="002D771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2B148E" w:rsidRPr="002B148E">
              <w:rPr>
                <w:rFonts w:asciiTheme="minorHAnsi" w:hAnsiTheme="minorHAnsi" w:cstheme="minorHAnsi"/>
                <w:sz w:val="24"/>
                <w:szCs w:val="24"/>
              </w:rPr>
              <w:t xml:space="preserve"> Water hea</w:t>
            </w:r>
            <w:r w:rsidR="002D771C">
              <w:rPr>
                <w:rFonts w:asciiTheme="minorHAnsi" w:hAnsiTheme="minorHAnsi" w:cstheme="minorHAnsi"/>
                <w:sz w:val="24"/>
                <w:szCs w:val="24"/>
              </w:rPr>
              <w:t>ter</w:t>
            </w:r>
            <w:r w:rsidR="002B148E" w:rsidRPr="002B148E">
              <w:rPr>
                <w:rFonts w:asciiTheme="minorHAnsi" w:hAnsiTheme="minorHAnsi" w:cstheme="minorHAnsi"/>
                <w:sz w:val="24"/>
                <w:szCs w:val="24"/>
              </w:rPr>
              <w:t>, kettle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C</w:t>
            </w:r>
            <w:r w:rsidR="002B148E" w:rsidRPr="002B148E">
              <w:rPr>
                <w:rFonts w:asciiTheme="minorHAnsi" w:hAnsiTheme="minorHAnsi" w:cstheme="minorHAnsi"/>
                <w:sz w:val="24"/>
                <w:szCs w:val="24"/>
              </w:rPr>
              <w:t xml:space="preserve">ooker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or Barbecue </w:t>
            </w:r>
          </w:p>
        </w:tc>
        <w:tc>
          <w:tcPr>
            <w:tcW w:w="1683" w:type="dxa"/>
            <w:tcBorders>
              <w:bottom w:val="single" w:sz="8" w:space="0" w:color="000000"/>
              <w:right w:val="single" w:sz="8" w:space="0" w:color="000000"/>
            </w:tcBorders>
          </w:tcPr>
          <w:p w14:paraId="5C41C759" w14:textId="2EDC21B6" w:rsidR="00D53FAC" w:rsidRPr="00425754" w:rsidRDefault="002B148E" w:rsidP="00C678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5754">
              <w:rPr>
                <w:rFonts w:asciiTheme="minorHAnsi" w:hAnsiTheme="minorHAnsi" w:cstheme="minorHAnsi"/>
                <w:sz w:val="24"/>
                <w:szCs w:val="24"/>
              </w:rPr>
              <w:t xml:space="preserve">Adults and children from regular use </w:t>
            </w:r>
          </w:p>
        </w:tc>
        <w:tc>
          <w:tcPr>
            <w:tcW w:w="669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14:paraId="4FB7339D" w14:textId="027533CC" w:rsidR="00A57D0C" w:rsidRPr="002B148E" w:rsidRDefault="002B148E" w:rsidP="00C678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Warning notices in place</w:t>
            </w:r>
            <w:r w:rsidR="0042575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Requirement for children to be supervised</w:t>
            </w:r>
            <w:r w:rsidR="0042575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C678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05BA8" w:rsidRPr="002B148E">
              <w:rPr>
                <w:rFonts w:asciiTheme="minorHAnsi" w:hAnsiTheme="minorHAnsi" w:cstheme="minorHAnsi"/>
                <w:sz w:val="24"/>
                <w:szCs w:val="24"/>
              </w:rPr>
              <w:t>Notice to this effect for children under 12 on display by heater</w:t>
            </w:r>
            <w:r w:rsidR="00C20EF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C20EFE" w:rsidRPr="00C20EFE">
              <w:rPr>
                <w:rFonts w:asciiTheme="minorHAnsi" w:hAnsiTheme="minorHAnsi" w:cstheme="minorHAnsi"/>
                <w:sz w:val="24"/>
                <w:szCs w:val="24"/>
              </w:rPr>
              <w:t>Stable BBQ us</w:t>
            </w:r>
            <w:r w:rsidR="00891E61">
              <w:rPr>
                <w:rFonts w:asciiTheme="minorHAnsi" w:hAnsiTheme="minorHAnsi" w:cstheme="minorHAnsi"/>
                <w:sz w:val="24"/>
                <w:szCs w:val="24"/>
              </w:rPr>
              <w:t>ed.  Adult supervision required</w:t>
            </w:r>
            <w:r w:rsidR="00C20EFE" w:rsidRPr="00C20EFE">
              <w:rPr>
                <w:rFonts w:asciiTheme="minorHAnsi" w:hAnsiTheme="minorHAnsi" w:cstheme="minorHAnsi"/>
                <w:sz w:val="24"/>
                <w:szCs w:val="24"/>
              </w:rPr>
              <w:t>. New BBQ grill fitted in 2015.</w:t>
            </w:r>
            <w:r w:rsidR="00891E61">
              <w:rPr>
                <w:rFonts w:asciiTheme="minorHAnsi" w:hAnsiTheme="minorHAnsi" w:cstheme="minorHAnsi"/>
                <w:sz w:val="24"/>
                <w:szCs w:val="24"/>
              </w:rPr>
              <w:t xml:space="preserve"> Granite BBQ surround fitted 2021.</w:t>
            </w:r>
          </w:p>
        </w:tc>
        <w:tc>
          <w:tcPr>
            <w:tcW w:w="2613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14:paraId="0E7A9E7C" w14:textId="77777777" w:rsidR="00425754" w:rsidRDefault="00425754" w:rsidP="00C678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5754"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  <w:p w14:paraId="4A49AE23" w14:textId="5876B709" w:rsidR="00425754" w:rsidRPr="00425754" w:rsidRDefault="00425754" w:rsidP="00C678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5754">
              <w:rPr>
                <w:rFonts w:asciiTheme="minorHAnsi" w:hAnsiTheme="minorHAnsi" w:cstheme="minorHAnsi"/>
                <w:sz w:val="24"/>
                <w:szCs w:val="24"/>
              </w:rPr>
              <w:t xml:space="preserve">Situation </w:t>
            </w:r>
            <w:r w:rsidR="00C67889" w:rsidRPr="00425754">
              <w:rPr>
                <w:rFonts w:asciiTheme="minorHAnsi" w:hAnsiTheme="minorHAnsi" w:cstheme="minorHAnsi"/>
                <w:sz w:val="24"/>
                <w:szCs w:val="24"/>
              </w:rPr>
              <w:t>monitored No</w:t>
            </w:r>
            <w:r w:rsidRPr="00425754">
              <w:rPr>
                <w:rFonts w:asciiTheme="minorHAnsi" w:hAnsiTheme="minorHAnsi" w:cstheme="minorHAnsi"/>
                <w:sz w:val="24"/>
                <w:szCs w:val="24"/>
              </w:rPr>
              <w:t xml:space="preserve"> incidents reported 2017/2019 </w:t>
            </w:r>
          </w:p>
          <w:p w14:paraId="4243E028" w14:textId="6AAE593C" w:rsidR="00425754" w:rsidRPr="00425754" w:rsidRDefault="00425754" w:rsidP="00C678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5754">
              <w:rPr>
                <w:rFonts w:asciiTheme="minorHAnsi" w:hAnsiTheme="minorHAnsi" w:cstheme="minorHAnsi"/>
                <w:sz w:val="24"/>
                <w:szCs w:val="24"/>
              </w:rPr>
              <w:t xml:space="preserve">Adequate control </w:t>
            </w:r>
          </w:p>
        </w:tc>
        <w:tc>
          <w:tcPr>
            <w:tcW w:w="67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14:paraId="40FB3B5E" w14:textId="77777777" w:rsidR="00D53FAC" w:rsidRPr="002B148E" w:rsidRDefault="00D53FAC" w:rsidP="00C6788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14:paraId="01216104" w14:textId="77777777" w:rsidR="00D53FAC" w:rsidRPr="002B148E" w:rsidRDefault="00D53FAC" w:rsidP="00C6788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14:paraId="78937E16" w14:textId="77777777" w:rsidR="00D53FAC" w:rsidRPr="002B148E" w:rsidRDefault="00D53FAC" w:rsidP="00C6788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</w:tr>
      <w:tr w:rsidR="008E22C7" w:rsidRPr="002B148E" w14:paraId="4F831DB7" w14:textId="77777777" w:rsidTr="00A02EA7">
        <w:trPr>
          <w:trHeight w:val="284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7252D" w14:textId="15F731A1" w:rsidR="008E22C7" w:rsidRPr="002B148E" w:rsidRDefault="00C67889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9E1DA" w14:textId="2A256C67" w:rsidR="008E22C7" w:rsidRPr="002B148E" w:rsidRDefault="00C67889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Injury from </w:t>
            </w:r>
            <w:r w:rsidR="008E22C7" w:rsidRPr="002B148E">
              <w:rPr>
                <w:rFonts w:asciiTheme="minorHAnsi" w:hAnsiTheme="minorHAnsi" w:cstheme="minorHAnsi"/>
                <w:sz w:val="24"/>
                <w:szCs w:val="24"/>
              </w:rPr>
              <w:t>Sharp knives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within galley </w:t>
            </w:r>
          </w:p>
        </w:tc>
        <w:tc>
          <w:tcPr>
            <w:tcW w:w="1683" w:type="dxa"/>
            <w:tcBorders>
              <w:bottom w:val="single" w:sz="8" w:space="0" w:color="000000"/>
              <w:right w:val="single" w:sz="8" w:space="0" w:color="000000"/>
            </w:tcBorders>
          </w:tcPr>
          <w:p w14:paraId="53BA2C01" w14:textId="56E1988A" w:rsidR="008E22C7" w:rsidRPr="00425754" w:rsidRDefault="00C67889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Members during duties </w:t>
            </w:r>
          </w:p>
        </w:tc>
        <w:tc>
          <w:tcPr>
            <w:tcW w:w="6695" w:type="dxa"/>
            <w:tcBorders>
              <w:bottom w:val="single" w:sz="8" w:space="0" w:color="000000"/>
              <w:right w:val="single" w:sz="8" w:space="0" w:color="000000"/>
            </w:tcBorders>
          </w:tcPr>
          <w:p w14:paraId="28370AF7" w14:textId="27A5C84A" w:rsidR="008E22C7" w:rsidRPr="002B148E" w:rsidRDefault="00C67889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7889">
              <w:rPr>
                <w:rFonts w:asciiTheme="minorHAnsi" w:hAnsiTheme="minorHAnsi" w:cstheme="minorHAnsi"/>
                <w:sz w:val="24"/>
                <w:szCs w:val="24"/>
              </w:rPr>
              <w:t>Knives kept in draw.  Children under 12 not allowed behind the tea ba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</w:p>
        </w:tc>
        <w:tc>
          <w:tcPr>
            <w:tcW w:w="2613" w:type="dxa"/>
            <w:tcBorders>
              <w:bottom w:val="single" w:sz="8" w:space="0" w:color="000000"/>
              <w:right w:val="single" w:sz="8" w:space="0" w:color="000000"/>
            </w:tcBorders>
          </w:tcPr>
          <w:p w14:paraId="052B959D" w14:textId="77777777" w:rsidR="00B5623F" w:rsidRDefault="00B5623F" w:rsidP="00B562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5754"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  <w:p w14:paraId="74174F12" w14:textId="77777777" w:rsidR="00B5623F" w:rsidRPr="00425754" w:rsidRDefault="00B5623F" w:rsidP="00B562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5754">
              <w:rPr>
                <w:rFonts w:asciiTheme="minorHAnsi" w:hAnsiTheme="minorHAnsi" w:cstheme="minorHAnsi"/>
                <w:sz w:val="24"/>
                <w:szCs w:val="24"/>
              </w:rPr>
              <w:t xml:space="preserve">Situation monitored No incidents reported 2017/2019 </w:t>
            </w:r>
          </w:p>
          <w:p w14:paraId="62AC6F15" w14:textId="3D4157BB" w:rsidR="00B5623F" w:rsidRPr="00425754" w:rsidRDefault="00B5623F" w:rsidP="00B5623F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5754">
              <w:rPr>
                <w:rFonts w:asciiTheme="minorHAnsi" w:hAnsiTheme="minorHAnsi" w:cstheme="minorHAnsi"/>
                <w:sz w:val="24"/>
                <w:szCs w:val="24"/>
              </w:rPr>
              <w:t>Adequate control</w:t>
            </w:r>
          </w:p>
        </w:tc>
        <w:tc>
          <w:tcPr>
            <w:tcW w:w="676" w:type="dxa"/>
            <w:tcBorders>
              <w:bottom w:val="single" w:sz="8" w:space="0" w:color="000000"/>
              <w:right w:val="single" w:sz="8" w:space="0" w:color="000000"/>
            </w:tcBorders>
          </w:tcPr>
          <w:p w14:paraId="0C2E722B" w14:textId="77777777" w:rsidR="008E22C7" w:rsidRPr="002B148E" w:rsidRDefault="008E22C7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</w:tcPr>
          <w:p w14:paraId="6CDE808F" w14:textId="77777777" w:rsidR="008E22C7" w:rsidRPr="002B148E" w:rsidRDefault="008E22C7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</w:tcPr>
          <w:p w14:paraId="2EF6DCD8" w14:textId="77777777" w:rsidR="008E22C7" w:rsidRPr="002B148E" w:rsidRDefault="008E22C7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</w:tr>
      <w:tr w:rsidR="008E22C7" w:rsidRPr="002B148E" w14:paraId="0C6BF25E" w14:textId="77777777" w:rsidTr="00A02EA7">
        <w:trPr>
          <w:trHeight w:val="284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B80EA" w14:textId="6BA930DC" w:rsidR="008E22C7" w:rsidRPr="002B148E" w:rsidRDefault="00FC7310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D78A3" w14:textId="1DD4007F" w:rsidR="008E22C7" w:rsidRPr="002B148E" w:rsidRDefault="008E22C7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148E">
              <w:rPr>
                <w:rFonts w:asciiTheme="minorHAnsi" w:hAnsiTheme="minorHAnsi" w:cstheme="minorHAnsi"/>
                <w:sz w:val="24"/>
                <w:szCs w:val="24"/>
              </w:rPr>
              <w:t>Slips</w:t>
            </w:r>
            <w:r w:rsidR="00B5623F">
              <w:rPr>
                <w:rFonts w:asciiTheme="minorHAnsi" w:hAnsiTheme="minorHAnsi" w:cstheme="minorHAnsi"/>
                <w:sz w:val="24"/>
                <w:szCs w:val="24"/>
              </w:rPr>
              <w:t>, Trips</w:t>
            </w:r>
            <w:r w:rsidRPr="002B148E">
              <w:rPr>
                <w:rFonts w:asciiTheme="minorHAnsi" w:hAnsiTheme="minorHAnsi" w:cstheme="minorHAnsi"/>
                <w:sz w:val="24"/>
                <w:szCs w:val="24"/>
              </w:rPr>
              <w:t xml:space="preserve"> and falls</w:t>
            </w:r>
            <w:r w:rsidR="00B5623F">
              <w:rPr>
                <w:rFonts w:asciiTheme="minorHAnsi" w:hAnsiTheme="minorHAnsi" w:cstheme="minorHAnsi"/>
                <w:sz w:val="24"/>
                <w:szCs w:val="24"/>
              </w:rPr>
              <w:t xml:space="preserve"> on floor surfaces in clubhouse </w:t>
            </w:r>
          </w:p>
        </w:tc>
        <w:tc>
          <w:tcPr>
            <w:tcW w:w="1683" w:type="dxa"/>
            <w:tcBorders>
              <w:bottom w:val="single" w:sz="8" w:space="0" w:color="000000"/>
              <w:right w:val="single" w:sz="8" w:space="0" w:color="000000"/>
            </w:tcBorders>
          </w:tcPr>
          <w:p w14:paraId="0FE9C0C9" w14:textId="07368EE3" w:rsidR="008E22C7" w:rsidRPr="00425754" w:rsidRDefault="00B5623F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Members during use of clubhouse </w:t>
            </w:r>
          </w:p>
        </w:tc>
        <w:tc>
          <w:tcPr>
            <w:tcW w:w="6695" w:type="dxa"/>
            <w:tcBorders>
              <w:bottom w:val="single" w:sz="8" w:space="0" w:color="000000"/>
              <w:right w:val="single" w:sz="8" w:space="0" w:color="000000"/>
            </w:tcBorders>
          </w:tcPr>
          <w:p w14:paraId="1595A202" w14:textId="210FFECA" w:rsidR="008E22C7" w:rsidRPr="002B148E" w:rsidRDefault="00892187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92187">
              <w:rPr>
                <w:rFonts w:asciiTheme="minorHAnsi" w:hAnsiTheme="minorHAnsi" w:cstheme="minorHAnsi"/>
                <w:sz w:val="24"/>
                <w:szCs w:val="24"/>
              </w:rPr>
              <w:t>Floor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892187">
              <w:rPr>
                <w:rFonts w:asciiTheme="minorHAnsi" w:hAnsiTheme="minorHAnsi" w:cstheme="minorHAnsi"/>
                <w:sz w:val="24"/>
                <w:szCs w:val="24"/>
              </w:rPr>
              <w:t xml:space="preserve"> kept clean and dry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Wet floor signage in use </w:t>
            </w:r>
          </w:p>
        </w:tc>
        <w:tc>
          <w:tcPr>
            <w:tcW w:w="2613" w:type="dxa"/>
            <w:tcBorders>
              <w:bottom w:val="single" w:sz="8" w:space="0" w:color="000000"/>
              <w:right w:val="single" w:sz="8" w:space="0" w:color="000000"/>
            </w:tcBorders>
          </w:tcPr>
          <w:p w14:paraId="2C77570B" w14:textId="77777777" w:rsidR="00892187" w:rsidRDefault="00892187" w:rsidP="008921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5754"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  <w:p w14:paraId="7952FCDC" w14:textId="77777777" w:rsidR="00892187" w:rsidRPr="00425754" w:rsidRDefault="00892187" w:rsidP="008921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5754">
              <w:rPr>
                <w:rFonts w:asciiTheme="minorHAnsi" w:hAnsiTheme="minorHAnsi" w:cstheme="minorHAnsi"/>
                <w:sz w:val="24"/>
                <w:szCs w:val="24"/>
              </w:rPr>
              <w:t xml:space="preserve">Situation monitored No incidents reported 2017/2019 </w:t>
            </w:r>
          </w:p>
          <w:p w14:paraId="2874E90A" w14:textId="7FBB8924" w:rsidR="008E22C7" w:rsidRPr="00425754" w:rsidRDefault="00892187" w:rsidP="0089218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5754">
              <w:rPr>
                <w:rFonts w:asciiTheme="minorHAnsi" w:hAnsiTheme="minorHAnsi" w:cstheme="minorHAnsi"/>
                <w:sz w:val="24"/>
                <w:szCs w:val="24"/>
              </w:rPr>
              <w:t>Adequate control</w:t>
            </w:r>
          </w:p>
        </w:tc>
        <w:tc>
          <w:tcPr>
            <w:tcW w:w="676" w:type="dxa"/>
            <w:tcBorders>
              <w:bottom w:val="single" w:sz="8" w:space="0" w:color="000000"/>
              <w:right w:val="single" w:sz="8" w:space="0" w:color="000000"/>
            </w:tcBorders>
          </w:tcPr>
          <w:p w14:paraId="281CF4F5" w14:textId="77777777" w:rsidR="008E22C7" w:rsidRPr="002B148E" w:rsidRDefault="008E22C7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</w:tcPr>
          <w:p w14:paraId="79EE2A0D" w14:textId="77777777" w:rsidR="008E22C7" w:rsidRPr="002B148E" w:rsidRDefault="008E22C7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</w:tcPr>
          <w:p w14:paraId="40D026C4" w14:textId="77777777" w:rsidR="008E22C7" w:rsidRPr="002B148E" w:rsidRDefault="008E22C7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</w:tr>
      <w:tr w:rsidR="008E22C7" w:rsidRPr="002B148E" w14:paraId="10B0EC00" w14:textId="77777777" w:rsidTr="00A02EA7">
        <w:trPr>
          <w:trHeight w:val="284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DA9A7" w14:textId="54C46354" w:rsidR="008E22C7" w:rsidRPr="002B148E" w:rsidRDefault="00FC7310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24D60" w14:textId="349D39AC" w:rsidR="008E22C7" w:rsidRPr="002B148E" w:rsidRDefault="008E22C7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148E">
              <w:rPr>
                <w:rFonts w:asciiTheme="minorHAnsi" w:hAnsiTheme="minorHAnsi" w:cstheme="minorHAnsi"/>
                <w:sz w:val="24"/>
                <w:szCs w:val="24"/>
              </w:rPr>
              <w:t>Electrocution</w:t>
            </w:r>
          </w:p>
        </w:tc>
        <w:tc>
          <w:tcPr>
            <w:tcW w:w="1683" w:type="dxa"/>
            <w:tcBorders>
              <w:bottom w:val="single" w:sz="8" w:space="0" w:color="000000"/>
              <w:right w:val="single" w:sz="8" w:space="0" w:color="000000"/>
            </w:tcBorders>
          </w:tcPr>
          <w:p w14:paraId="658F3051" w14:textId="72FB76C5" w:rsidR="008E22C7" w:rsidRPr="00425754" w:rsidRDefault="00892187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Members during use of clubhouse</w:t>
            </w:r>
          </w:p>
        </w:tc>
        <w:tc>
          <w:tcPr>
            <w:tcW w:w="6695" w:type="dxa"/>
            <w:tcBorders>
              <w:bottom w:val="single" w:sz="8" w:space="0" w:color="000000"/>
              <w:right w:val="single" w:sz="8" w:space="0" w:color="000000"/>
            </w:tcBorders>
          </w:tcPr>
          <w:p w14:paraId="413D8877" w14:textId="52757439" w:rsidR="008E22C7" w:rsidRPr="002B148E" w:rsidRDefault="00892187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92187">
              <w:rPr>
                <w:rFonts w:asciiTheme="minorHAnsi" w:hAnsiTheme="minorHAnsi" w:cstheme="minorHAnsi"/>
                <w:sz w:val="24"/>
                <w:szCs w:val="24"/>
              </w:rPr>
              <w:t>RCD fitted and PAT test</w:t>
            </w:r>
            <w:r w:rsidR="002D771C">
              <w:rPr>
                <w:rFonts w:asciiTheme="minorHAnsi" w:hAnsiTheme="minorHAnsi" w:cstheme="minorHAnsi"/>
                <w:sz w:val="24"/>
                <w:szCs w:val="24"/>
              </w:rPr>
              <w:t xml:space="preserve">ing according to required schedule. Position </w:t>
            </w:r>
            <w:r w:rsidRPr="00892187">
              <w:rPr>
                <w:rFonts w:asciiTheme="minorHAnsi" w:hAnsiTheme="minorHAnsi" w:cstheme="minorHAnsi"/>
                <w:sz w:val="24"/>
                <w:szCs w:val="24"/>
              </w:rPr>
              <w:t>monitored by Maintenance Committee</w:t>
            </w:r>
          </w:p>
        </w:tc>
        <w:tc>
          <w:tcPr>
            <w:tcW w:w="2613" w:type="dxa"/>
            <w:tcBorders>
              <w:bottom w:val="single" w:sz="8" w:space="0" w:color="000000"/>
              <w:right w:val="single" w:sz="8" w:space="0" w:color="000000"/>
            </w:tcBorders>
          </w:tcPr>
          <w:p w14:paraId="724798F1" w14:textId="77777777" w:rsidR="00892187" w:rsidRDefault="00892187" w:rsidP="008921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5754"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  <w:p w14:paraId="3FC3559B" w14:textId="77777777" w:rsidR="00892187" w:rsidRPr="00425754" w:rsidRDefault="00892187" w:rsidP="008921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5754">
              <w:rPr>
                <w:rFonts w:asciiTheme="minorHAnsi" w:hAnsiTheme="minorHAnsi" w:cstheme="minorHAnsi"/>
                <w:sz w:val="24"/>
                <w:szCs w:val="24"/>
              </w:rPr>
              <w:t xml:space="preserve">Situation monitored No incidents reported 2017/2019 </w:t>
            </w:r>
          </w:p>
          <w:p w14:paraId="70A90C6D" w14:textId="43B7DF1E" w:rsidR="008E22C7" w:rsidRPr="00425754" w:rsidRDefault="00892187" w:rsidP="0089218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5754">
              <w:rPr>
                <w:rFonts w:asciiTheme="minorHAnsi" w:hAnsiTheme="minorHAnsi" w:cstheme="minorHAnsi"/>
                <w:sz w:val="24"/>
                <w:szCs w:val="24"/>
              </w:rPr>
              <w:t>Adequate control</w:t>
            </w:r>
          </w:p>
        </w:tc>
        <w:tc>
          <w:tcPr>
            <w:tcW w:w="676" w:type="dxa"/>
            <w:tcBorders>
              <w:bottom w:val="single" w:sz="8" w:space="0" w:color="000000"/>
              <w:right w:val="single" w:sz="8" w:space="0" w:color="000000"/>
            </w:tcBorders>
          </w:tcPr>
          <w:p w14:paraId="204EB194" w14:textId="77777777" w:rsidR="008E22C7" w:rsidRPr="002B148E" w:rsidRDefault="008E22C7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</w:tcPr>
          <w:p w14:paraId="05FF3789" w14:textId="77777777" w:rsidR="008E22C7" w:rsidRPr="002B148E" w:rsidRDefault="008E22C7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</w:tcPr>
          <w:p w14:paraId="2B024229" w14:textId="77777777" w:rsidR="008E22C7" w:rsidRPr="002B148E" w:rsidRDefault="008E22C7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</w:tr>
      <w:tr w:rsidR="008E22C7" w:rsidRPr="002B148E" w14:paraId="3AC634B0" w14:textId="77777777" w:rsidTr="00A02EA7">
        <w:trPr>
          <w:trHeight w:val="284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323A7" w14:textId="0D236DA7" w:rsidR="008E22C7" w:rsidRPr="002B148E" w:rsidRDefault="00FC7310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1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922F" w14:textId="16917F90" w:rsidR="008E22C7" w:rsidRPr="002B148E" w:rsidRDefault="00F71831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Gas Leak or fire</w:t>
            </w:r>
          </w:p>
        </w:tc>
        <w:tc>
          <w:tcPr>
            <w:tcW w:w="1683" w:type="dxa"/>
            <w:tcBorders>
              <w:bottom w:val="single" w:sz="8" w:space="0" w:color="000000"/>
              <w:right w:val="single" w:sz="8" w:space="0" w:color="000000"/>
            </w:tcBorders>
          </w:tcPr>
          <w:p w14:paraId="03041116" w14:textId="503DE45A" w:rsidR="008E22C7" w:rsidRPr="00425754" w:rsidRDefault="00F71831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Members during use of clubhouse</w:t>
            </w:r>
          </w:p>
        </w:tc>
        <w:tc>
          <w:tcPr>
            <w:tcW w:w="6695" w:type="dxa"/>
            <w:tcBorders>
              <w:bottom w:val="single" w:sz="8" w:space="0" w:color="000000"/>
              <w:right w:val="single" w:sz="8" w:space="0" w:color="000000"/>
            </w:tcBorders>
          </w:tcPr>
          <w:p w14:paraId="4E101DC8" w14:textId="22BAB16E" w:rsidR="008E22C7" w:rsidRPr="002B148E" w:rsidRDefault="00F71831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71831">
              <w:rPr>
                <w:rFonts w:asciiTheme="minorHAnsi" w:hAnsiTheme="minorHAnsi" w:cstheme="minorHAnsi"/>
                <w:sz w:val="24"/>
                <w:szCs w:val="24"/>
              </w:rPr>
              <w:t>Gas pipework replaced in 2014. Electrical wiring replaced in 2014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&amp; 2018. Adult use of galley area with clear instruction. Gas isolation valve prominent</w:t>
            </w:r>
            <w:r w:rsidR="00317AC5">
              <w:rPr>
                <w:rFonts w:asciiTheme="minorHAnsi" w:hAnsiTheme="minorHAnsi" w:cstheme="minorHAnsi"/>
                <w:sz w:val="24"/>
                <w:szCs w:val="24"/>
              </w:rPr>
              <w:t xml:space="preserve"> and included within members induction</w:t>
            </w:r>
          </w:p>
        </w:tc>
        <w:tc>
          <w:tcPr>
            <w:tcW w:w="2613" w:type="dxa"/>
            <w:tcBorders>
              <w:bottom w:val="single" w:sz="8" w:space="0" w:color="000000"/>
              <w:right w:val="single" w:sz="8" w:space="0" w:color="000000"/>
            </w:tcBorders>
          </w:tcPr>
          <w:p w14:paraId="41D1121C" w14:textId="77777777" w:rsidR="00F71831" w:rsidRDefault="00F71831" w:rsidP="00F7183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5754"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  <w:p w14:paraId="0CB0A500" w14:textId="77777777" w:rsidR="00F71831" w:rsidRPr="00425754" w:rsidRDefault="00F71831" w:rsidP="00F7183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5754">
              <w:rPr>
                <w:rFonts w:asciiTheme="minorHAnsi" w:hAnsiTheme="minorHAnsi" w:cstheme="minorHAnsi"/>
                <w:sz w:val="24"/>
                <w:szCs w:val="24"/>
              </w:rPr>
              <w:t xml:space="preserve">Situation monitored No incidents reported 2017/2019 </w:t>
            </w:r>
          </w:p>
          <w:p w14:paraId="5B53629D" w14:textId="6FB6A8E5" w:rsidR="008E22C7" w:rsidRPr="00425754" w:rsidRDefault="00F71831" w:rsidP="00F71831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5754">
              <w:rPr>
                <w:rFonts w:asciiTheme="minorHAnsi" w:hAnsiTheme="minorHAnsi" w:cstheme="minorHAnsi"/>
                <w:sz w:val="24"/>
                <w:szCs w:val="24"/>
              </w:rPr>
              <w:t>Adequate control</w:t>
            </w:r>
          </w:p>
        </w:tc>
        <w:tc>
          <w:tcPr>
            <w:tcW w:w="676" w:type="dxa"/>
            <w:tcBorders>
              <w:bottom w:val="single" w:sz="8" w:space="0" w:color="000000"/>
              <w:right w:val="single" w:sz="8" w:space="0" w:color="000000"/>
            </w:tcBorders>
          </w:tcPr>
          <w:p w14:paraId="28FB1387" w14:textId="77777777" w:rsidR="008E22C7" w:rsidRPr="002B148E" w:rsidRDefault="008E22C7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</w:tcPr>
          <w:p w14:paraId="4328EA80" w14:textId="77777777" w:rsidR="008E22C7" w:rsidRPr="002B148E" w:rsidRDefault="008E22C7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</w:tcPr>
          <w:p w14:paraId="13B8FCC8" w14:textId="77777777" w:rsidR="008E22C7" w:rsidRPr="002B148E" w:rsidRDefault="008E22C7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</w:tr>
      <w:tr w:rsidR="008E22C7" w:rsidRPr="002B148E" w14:paraId="592CDF3A" w14:textId="77777777" w:rsidTr="00A02EA7">
        <w:trPr>
          <w:trHeight w:val="284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A5FF5" w14:textId="233254DF" w:rsidR="008E22C7" w:rsidRPr="002B148E" w:rsidRDefault="00FC7310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01592" w14:textId="16C0C001" w:rsidR="008E22C7" w:rsidRPr="002B148E" w:rsidRDefault="00317AC5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Adherence to food hygiene requirements</w:t>
            </w:r>
            <w:r w:rsidR="002A6ADD">
              <w:rPr>
                <w:rFonts w:asciiTheme="minorHAnsi" w:hAnsiTheme="minorHAnsi" w:cstheme="minorHAnsi"/>
                <w:sz w:val="24"/>
                <w:szCs w:val="24"/>
              </w:rPr>
              <w:t xml:space="preserve">. Barbecue, Galley and Bar </w:t>
            </w:r>
          </w:p>
        </w:tc>
        <w:tc>
          <w:tcPr>
            <w:tcW w:w="1683" w:type="dxa"/>
            <w:tcBorders>
              <w:bottom w:val="single" w:sz="8" w:space="0" w:color="000000"/>
              <w:right w:val="single" w:sz="8" w:space="0" w:color="000000"/>
            </w:tcBorders>
          </w:tcPr>
          <w:p w14:paraId="2078342B" w14:textId="305FCAE7" w:rsidR="008E22C7" w:rsidRPr="00425754" w:rsidRDefault="005C2F75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C2F75">
              <w:rPr>
                <w:rFonts w:asciiTheme="minorHAnsi" w:hAnsiTheme="minorHAnsi" w:cstheme="minorHAnsi"/>
                <w:sz w:val="24"/>
                <w:szCs w:val="24"/>
              </w:rPr>
              <w:t>Members during use of clubhouse</w:t>
            </w:r>
          </w:p>
        </w:tc>
        <w:tc>
          <w:tcPr>
            <w:tcW w:w="6695" w:type="dxa"/>
            <w:tcBorders>
              <w:bottom w:val="single" w:sz="8" w:space="0" w:color="000000"/>
              <w:right w:val="single" w:sz="8" w:space="0" w:color="000000"/>
            </w:tcBorders>
          </w:tcPr>
          <w:p w14:paraId="3E761CF4" w14:textId="5C75F1D6" w:rsidR="005C2F75" w:rsidRPr="002B148E" w:rsidRDefault="00317AC5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7AC5">
              <w:rPr>
                <w:rFonts w:asciiTheme="minorHAnsi" w:hAnsiTheme="minorHAnsi" w:cstheme="minorHAnsi"/>
                <w:sz w:val="24"/>
                <w:szCs w:val="24"/>
              </w:rPr>
              <w:t>Fridge temperatures checked and logged.  Probes used in hot/heated food and promoted.  Surfaces disinfected.  Manual for Tea Bar volunteers.  Overalls provided and worn.  Tea Bar instructions to dispose of food beyond ‘use by’ dates. Food prepared at home: members are advised of food hygiene via Tea Bar instructions. Food allergy notices and guidance posted to reflect new regulations introduced in 2015</w:t>
            </w:r>
            <w:r w:rsidR="00C20EFE">
              <w:rPr>
                <w:rFonts w:asciiTheme="minorHAnsi" w:hAnsiTheme="minorHAnsi" w:cstheme="minorHAnsi"/>
                <w:sz w:val="24"/>
                <w:szCs w:val="24"/>
              </w:rPr>
              <w:t xml:space="preserve"> .</w:t>
            </w:r>
            <w:r w:rsidR="002A6ADD">
              <w:rPr>
                <w:rFonts w:asciiTheme="minorHAnsi" w:hAnsiTheme="minorHAnsi" w:cstheme="minorHAnsi"/>
                <w:sz w:val="24"/>
                <w:szCs w:val="24"/>
              </w:rPr>
              <w:t xml:space="preserve"> Stock check for in date products and removal of items beyond ‘use by date’</w:t>
            </w:r>
            <w:r w:rsidR="00C20EFE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5C2F75">
              <w:rPr>
                <w:rFonts w:asciiTheme="minorHAnsi" w:hAnsiTheme="minorHAnsi" w:cstheme="minorHAnsi"/>
                <w:sz w:val="24"/>
                <w:szCs w:val="24"/>
              </w:rPr>
              <w:t xml:space="preserve"> Annual certification and inspection process </w:t>
            </w:r>
          </w:p>
        </w:tc>
        <w:tc>
          <w:tcPr>
            <w:tcW w:w="2613" w:type="dxa"/>
            <w:tcBorders>
              <w:bottom w:val="single" w:sz="8" w:space="0" w:color="000000"/>
              <w:right w:val="single" w:sz="8" w:space="0" w:color="000000"/>
            </w:tcBorders>
          </w:tcPr>
          <w:p w14:paraId="5441937B" w14:textId="6B29E82F" w:rsidR="008E22C7" w:rsidRPr="00425754" w:rsidRDefault="005C2F75" w:rsidP="005C2F7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C2F75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5C2F75">
              <w:rPr>
                <w:rFonts w:asciiTheme="minorHAnsi" w:hAnsiTheme="minorHAnsi" w:cstheme="minorHAnsi"/>
                <w:sz w:val="24"/>
                <w:szCs w:val="24"/>
              </w:rPr>
              <w:t xml:space="preserve">Situation monitored No incidents reported 2017/2019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5C2F75">
              <w:rPr>
                <w:rFonts w:asciiTheme="minorHAnsi" w:hAnsiTheme="minorHAnsi" w:cstheme="minorHAnsi"/>
                <w:sz w:val="24"/>
                <w:szCs w:val="24"/>
              </w:rPr>
              <w:t>Adequate control</w:t>
            </w:r>
          </w:p>
        </w:tc>
        <w:tc>
          <w:tcPr>
            <w:tcW w:w="676" w:type="dxa"/>
            <w:tcBorders>
              <w:bottom w:val="single" w:sz="8" w:space="0" w:color="000000"/>
              <w:right w:val="single" w:sz="8" w:space="0" w:color="000000"/>
            </w:tcBorders>
          </w:tcPr>
          <w:p w14:paraId="72C3C387" w14:textId="77777777" w:rsidR="008E22C7" w:rsidRPr="002B148E" w:rsidRDefault="008E22C7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</w:tcPr>
          <w:p w14:paraId="5B30F6D2" w14:textId="77777777" w:rsidR="008E22C7" w:rsidRPr="002B148E" w:rsidRDefault="008E22C7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</w:tcPr>
          <w:p w14:paraId="0079BBF9" w14:textId="77777777" w:rsidR="008E22C7" w:rsidRPr="002B148E" w:rsidRDefault="008E22C7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</w:tr>
      <w:tr w:rsidR="00AC7902" w:rsidRPr="002B148E" w14:paraId="6F3831A8" w14:textId="77777777" w:rsidTr="00A02EA7">
        <w:trPr>
          <w:trHeight w:val="284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0B9CD" w14:textId="5CEEA123" w:rsidR="00AC7902" w:rsidRPr="002B148E" w:rsidRDefault="00FC7310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4AC44" w14:textId="5341E8A0" w:rsidR="00AC7902" w:rsidRPr="002B148E" w:rsidRDefault="005C2F75" w:rsidP="005C2F7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Injury from </w:t>
            </w:r>
            <w:r w:rsidR="00AC7902" w:rsidRPr="002B148E">
              <w:rPr>
                <w:rFonts w:asciiTheme="minorHAnsi" w:hAnsiTheme="minorHAnsi" w:cstheme="minorHAnsi"/>
                <w:sz w:val="24"/>
                <w:szCs w:val="24"/>
              </w:rPr>
              <w:t xml:space="preserve">Inappropriate access 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cleaning </w:t>
            </w:r>
            <w:r w:rsidR="00AC7902" w:rsidRPr="002B148E">
              <w:rPr>
                <w:rFonts w:asciiTheme="minorHAnsi" w:hAnsiTheme="minorHAnsi" w:cstheme="minorHAnsi"/>
                <w:sz w:val="24"/>
                <w:szCs w:val="24"/>
              </w:rPr>
              <w:t>chemicals.</w:t>
            </w:r>
          </w:p>
        </w:tc>
        <w:tc>
          <w:tcPr>
            <w:tcW w:w="1683" w:type="dxa"/>
            <w:tcBorders>
              <w:bottom w:val="single" w:sz="8" w:space="0" w:color="000000"/>
              <w:right w:val="single" w:sz="8" w:space="0" w:color="000000"/>
            </w:tcBorders>
          </w:tcPr>
          <w:p w14:paraId="2BC1686C" w14:textId="1486F448" w:rsidR="00AC7902" w:rsidRPr="00070689" w:rsidRDefault="00070689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7068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Members during use of clubhouse </w:t>
            </w:r>
          </w:p>
        </w:tc>
        <w:tc>
          <w:tcPr>
            <w:tcW w:w="6695" w:type="dxa"/>
            <w:tcBorders>
              <w:bottom w:val="single" w:sz="8" w:space="0" w:color="000000"/>
              <w:right w:val="single" w:sz="8" w:space="0" w:color="000000"/>
            </w:tcBorders>
          </w:tcPr>
          <w:p w14:paraId="35CFC828" w14:textId="56FE0B35" w:rsidR="00AC7902" w:rsidRPr="002B148E" w:rsidRDefault="00070689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0689">
              <w:rPr>
                <w:rFonts w:asciiTheme="minorHAnsi" w:hAnsiTheme="minorHAnsi" w:cstheme="minorHAnsi"/>
                <w:sz w:val="24"/>
                <w:szCs w:val="24"/>
              </w:rPr>
              <w:t>Dishwasher</w:t>
            </w:r>
            <w:r w:rsidR="00546C17">
              <w:rPr>
                <w:rFonts w:asciiTheme="minorHAnsi" w:hAnsiTheme="minorHAnsi" w:cstheme="minorHAnsi"/>
                <w:sz w:val="24"/>
                <w:szCs w:val="24"/>
              </w:rPr>
              <w:t xml:space="preserve"> liquids contained within galley cupboard which has adult access only. Dishwasher maintained weekly and </w:t>
            </w:r>
            <w:r w:rsidRPr="00070689">
              <w:rPr>
                <w:rFonts w:asciiTheme="minorHAnsi" w:hAnsiTheme="minorHAnsi" w:cstheme="minorHAnsi"/>
                <w:sz w:val="24"/>
                <w:szCs w:val="24"/>
              </w:rPr>
              <w:t>emptied</w:t>
            </w:r>
            <w:r w:rsidR="00546C17">
              <w:rPr>
                <w:rFonts w:asciiTheme="minorHAnsi" w:hAnsiTheme="minorHAnsi" w:cstheme="minorHAnsi"/>
                <w:sz w:val="24"/>
                <w:szCs w:val="24"/>
              </w:rPr>
              <w:t xml:space="preserve"> according to instructions. Instruction prominently displayed. Cleaning chemical cupboard locked and for authorised access only.</w:t>
            </w:r>
          </w:p>
        </w:tc>
        <w:tc>
          <w:tcPr>
            <w:tcW w:w="2613" w:type="dxa"/>
            <w:tcBorders>
              <w:bottom w:val="single" w:sz="8" w:space="0" w:color="000000"/>
              <w:right w:val="single" w:sz="8" w:space="0" w:color="000000"/>
            </w:tcBorders>
          </w:tcPr>
          <w:p w14:paraId="7F3E86F6" w14:textId="195E407F" w:rsidR="00AC7902" w:rsidRPr="002B148E" w:rsidRDefault="00C20EFE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  <w:r w:rsidRPr="005C2F75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5C2F75">
              <w:rPr>
                <w:rFonts w:asciiTheme="minorHAnsi" w:hAnsiTheme="minorHAnsi" w:cstheme="minorHAnsi"/>
                <w:sz w:val="24"/>
                <w:szCs w:val="24"/>
              </w:rPr>
              <w:t xml:space="preserve">Situation monitored No incidents reported 2017/2019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5C2F75">
              <w:rPr>
                <w:rFonts w:asciiTheme="minorHAnsi" w:hAnsiTheme="minorHAnsi" w:cstheme="minorHAnsi"/>
                <w:sz w:val="24"/>
                <w:szCs w:val="24"/>
              </w:rPr>
              <w:t>Adequate control</w:t>
            </w:r>
          </w:p>
        </w:tc>
        <w:tc>
          <w:tcPr>
            <w:tcW w:w="676" w:type="dxa"/>
            <w:tcBorders>
              <w:bottom w:val="single" w:sz="8" w:space="0" w:color="000000"/>
              <w:right w:val="single" w:sz="8" w:space="0" w:color="000000"/>
            </w:tcBorders>
          </w:tcPr>
          <w:p w14:paraId="1CCC82CE" w14:textId="77777777" w:rsidR="00AC7902" w:rsidRPr="002B148E" w:rsidRDefault="00AC7902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</w:tcPr>
          <w:p w14:paraId="6CC2E0FD" w14:textId="77777777" w:rsidR="00AC7902" w:rsidRPr="002B148E" w:rsidRDefault="00AC7902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</w:tcPr>
          <w:p w14:paraId="0B3E470B" w14:textId="77777777" w:rsidR="00AC7902" w:rsidRPr="002B148E" w:rsidRDefault="00AC7902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</w:tr>
      <w:tr w:rsidR="00A57D0C" w:rsidRPr="002B148E" w14:paraId="4C9A7466" w14:textId="77777777" w:rsidTr="00A02EA7">
        <w:trPr>
          <w:trHeight w:val="284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FCBC7" w14:textId="49A8A969" w:rsidR="00A57D0C" w:rsidRPr="002B148E" w:rsidRDefault="00FC7310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93D6E" w14:textId="6D649620" w:rsidR="00A57D0C" w:rsidRPr="002B148E" w:rsidRDefault="00260108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Financial Loss due to cancelled event</w:t>
            </w:r>
          </w:p>
        </w:tc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657EA" w14:textId="256D4C70" w:rsidR="00A57D0C" w:rsidRPr="002B148E" w:rsidRDefault="00260108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Members &amp; Club finances</w:t>
            </w:r>
          </w:p>
        </w:tc>
        <w:tc>
          <w:tcPr>
            <w:tcW w:w="6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77343" w14:textId="231F2100" w:rsidR="00A57D0C" w:rsidRPr="001920F7" w:rsidRDefault="001920F7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20F7">
              <w:rPr>
                <w:rFonts w:asciiTheme="minorHAnsi" w:hAnsiTheme="minorHAnsi" w:cstheme="minorHAnsi"/>
                <w:sz w:val="24"/>
                <w:szCs w:val="24"/>
              </w:rPr>
              <w:t>Consid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er alternative plans in the event of cancellation. Transfer of bookings, alternative uses of purchased consumables, </w:t>
            </w:r>
          </w:p>
        </w:tc>
        <w:tc>
          <w:tcPr>
            <w:tcW w:w="26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DC793" w14:textId="51DD2693" w:rsidR="00A57D0C" w:rsidRPr="001920F7" w:rsidRDefault="001920F7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20F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Events under review</w:t>
            </w:r>
            <w:r w:rsidR="00115E5F">
              <w:rPr>
                <w:rFonts w:asciiTheme="minorHAnsi" w:hAnsiTheme="minorHAnsi" w:cstheme="minorHAnsi"/>
                <w:sz w:val="24"/>
                <w:szCs w:val="24"/>
              </w:rPr>
              <w:t>. Cancelled Christmas Party 2017, Small loss incurred. Adequate control</w:t>
            </w:r>
          </w:p>
        </w:tc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2E4485" w14:textId="77777777" w:rsidR="00A57D0C" w:rsidRPr="002B148E" w:rsidRDefault="00A57D0C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  <w:tc>
          <w:tcPr>
            <w:tcW w:w="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076E5F" w14:textId="77777777" w:rsidR="00A57D0C" w:rsidRPr="002B148E" w:rsidRDefault="00A57D0C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1F3FF" w14:textId="77777777" w:rsidR="00A57D0C" w:rsidRPr="002B148E" w:rsidRDefault="00A57D0C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</w:tr>
      <w:tr w:rsidR="00260108" w:rsidRPr="002B148E" w14:paraId="300EA52E" w14:textId="77777777" w:rsidTr="00A02EA7">
        <w:trPr>
          <w:trHeight w:val="284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A4642" w14:textId="77777777" w:rsidR="00260108" w:rsidRPr="002B148E" w:rsidRDefault="00260108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64B5D" w14:textId="285C0626" w:rsidR="00260108" w:rsidRPr="002B148E" w:rsidRDefault="00260108" w:rsidP="00425754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14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END</w:t>
            </w:r>
          </w:p>
        </w:tc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5EC27" w14:textId="77777777" w:rsidR="00260108" w:rsidRPr="002B148E" w:rsidRDefault="00260108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164F0" w14:textId="77777777" w:rsidR="00260108" w:rsidRPr="002B148E" w:rsidRDefault="00260108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  <w:tc>
          <w:tcPr>
            <w:tcW w:w="26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A440D" w14:textId="77777777" w:rsidR="00260108" w:rsidRPr="002B148E" w:rsidRDefault="00260108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159AD" w14:textId="77777777" w:rsidR="00260108" w:rsidRPr="002B148E" w:rsidRDefault="00260108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  <w:tc>
          <w:tcPr>
            <w:tcW w:w="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A091B" w14:textId="77777777" w:rsidR="00260108" w:rsidRPr="002B148E" w:rsidRDefault="00260108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C20AF" w14:textId="77777777" w:rsidR="00260108" w:rsidRPr="002B148E" w:rsidRDefault="00260108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</w:tr>
      <w:tr w:rsidR="00A57D0C" w:rsidRPr="002B148E" w14:paraId="55B90273" w14:textId="77777777" w:rsidTr="00A02EA7">
        <w:trPr>
          <w:trHeight w:val="284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704312" w14:textId="77777777" w:rsidR="00A57D0C" w:rsidRPr="002B148E" w:rsidRDefault="00A57D0C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14:paraId="5E4C8BBB" w14:textId="2E30B55C" w:rsidR="00A57D0C" w:rsidRPr="002B148E" w:rsidRDefault="00A57D0C" w:rsidP="00425754">
            <w:pPr>
              <w:spacing w:line="240" w:lineRule="auto"/>
              <w:ind w:right="-141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14:paraId="39996AD6" w14:textId="77777777" w:rsidR="00A57D0C" w:rsidRPr="002B148E" w:rsidRDefault="00A57D0C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695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14:paraId="4DA46EC8" w14:textId="1DAA4D69" w:rsidR="00A57D0C" w:rsidRPr="002B148E" w:rsidRDefault="00162506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  <w:r w:rsidRPr="002B14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REV</w:t>
            </w:r>
            <w:bookmarkStart w:id="0" w:name="_GoBack"/>
            <w:bookmarkEnd w:id="0"/>
            <w:r w:rsidRPr="002B14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ISION HISTORY</w:t>
            </w:r>
          </w:p>
        </w:tc>
        <w:tc>
          <w:tcPr>
            <w:tcW w:w="2613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14:paraId="383ABCBB" w14:textId="77777777" w:rsidR="00A57D0C" w:rsidRPr="002B148E" w:rsidRDefault="00A57D0C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14:paraId="4067361D" w14:textId="77777777" w:rsidR="00A57D0C" w:rsidRPr="002B148E" w:rsidRDefault="00A57D0C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  <w:tc>
          <w:tcPr>
            <w:tcW w:w="985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14:paraId="5293CAC1" w14:textId="77777777" w:rsidR="00A57D0C" w:rsidRPr="002B148E" w:rsidRDefault="00A57D0C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62E40" w14:textId="77777777" w:rsidR="00A57D0C" w:rsidRPr="002B148E" w:rsidRDefault="00A57D0C" w:rsidP="00425754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en-GB"/>
              </w:rPr>
            </w:pPr>
          </w:p>
        </w:tc>
      </w:tr>
      <w:tr w:rsidR="00A57D0C" w:rsidRPr="002B148E" w14:paraId="5EBF2BE5" w14:textId="77777777" w:rsidTr="00162506">
        <w:trPr>
          <w:trHeight w:val="284"/>
        </w:trPr>
        <w:tc>
          <w:tcPr>
            <w:tcW w:w="559" w:type="dxa"/>
            <w:tcBorders>
              <w:left w:val="single" w:sz="8" w:space="0" w:color="000000"/>
              <w:right w:val="single" w:sz="8" w:space="0" w:color="000000"/>
            </w:tcBorders>
          </w:tcPr>
          <w:p w14:paraId="359FCE45" w14:textId="77777777" w:rsidR="00A57D0C" w:rsidRPr="002B148E" w:rsidRDefault="00A57D0C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8" w:space="0" w:color="000000"/>
              <w:right w:val="single" w:sz="8" w:space="0" w:color="000000"/>
            </w:tcBorders>
            <w:hideMark/>
          </w:tcPr>
          <w:p w14:paraId="4EB8F466" w14:textId="77777777" w:rsidR="00A57D0C" w:rsidRPr="002B148E" w:rsidRDefault="00A57D0C" w:rsidP="00425754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  <w:r w:rsidRPr="002B148E">
              <w:rPr>
                <w:rFonts w:asciiTheme="minorHAnsi" w:hAnsiTheme="minorHAnsi" w:cstheme="minorHAnsi"/>
                <w:b/>
                <w:bCs/>
              </w:rPr>
              <w:t>ISSUE:</w:t>
            </w:r>
          </w:p>
        </w:tc>
        <w:tc>
          <w:tcPr>
            <w:tcW w:w="1683" w:type="dxa"/>
            <w:tcBorders>
              <w:right w:val="single" w:sz="8" w:space="0" w:color="000000"/>
            </w:tcBorders>
            <w:vAlign w:val="center"/>
            <w:hideMark/>
          </w:tcPr>
          <w:p w14:paraId="1A0DEC0C" w14:textId="232544AE" w:rsidR="00FC7310" w:rsidRDefault="00FC7310" w:rsidP="00425754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  <w:p w14:paraId="2884C3E6" w14:textId="51581D1B" w:rsidR="00FC7310" w:rsidRPr="002B148E" w:rsidRDefault="00FC7310" w:rsidP="00425754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95" w:type="dxa"/>
            <w:tcBorders>
              <w:right w:val="single" w:sz="8" w:space="0" w:color="000000"/>
            </w:tcBorders>
            <w:hideMark/>
          </w:tcPr>
          <w:p w14:paraId="085C160A" w14:textId="64CC9FF1" w:rsidR="00A57D0C" w:rsidRPr="002B148E" w:rsidRDefault="00A02EA7" w:rsidP="00425754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Reviewed 18/2/16</w:t>
            </w:r>
          </w:p>
        </w:tc>
        <w:tc>
          <w:tcPr>
            <w:tcW w:w="2613" w:type="dxa"/>
            <w:tcBorders>
              <w:right w:val="single" w:sz="8" w:space="0" w:color="000000"/>
            </w:tcBorders>
            <w:hideMark/>
          </w:tcPr>
          <w:p w14:paraId="4FC63C0C" w14:textId="713042CE" w:rsidR="00A57D0C" w:rsidRPr="002B148E" w:rsidRDefault="00162506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Reviewed by</w:t>
            </w:r>
            <w:r w:rsidR="003E742A">
              <w:rPr>
                <w:rFonts w:asciiTheme="minorHAnsi" w:hAnsiTheme="minorHAnsi" w:cstheme="minorHAnsi"/>
                <w:sz w:val="24"/>
                <w:szCs w:val="24"/>
              </w:rPr>
              <w:t xml:space="preserve">: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Nicola Wilkinson </w:t>
            </w:r>
            <w:r w:rsidR="00644CAC">
              <w:rPr>
                <w:rFonts w:asciiTheme="minorHAnsi" w:hAnsiTheme="minorHAnsi" w:cstheme="minorHAnsi"/>
                <w:sz w:val="24"/>
                <w:szCs w:val="24"/>
              </w:rPr>
              <w:t>(Commodore)</w:t>
            </w:r>
          </w:p>
        </w:tc>
        <w:tc>
          <w:tcPr>
            <w:tcW w:w="2641" w:type="dxa"/>
            <w:gridSpan w:val="3"/>
            <w:tcBorders>
              <w:right w:val="single" w:sz="8" w:space="0" w:color="000000"/>
            </w:tcBorders>
            <w:hideMark/>
          </w:tcPr>
          <w:p w14:paraId="02FA7DF7" w14:textId="19DFE7D4" w:rsidR="00A57D0C" w:rsidRPr="002B148E" w:rsidRDefault="00A57D0C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2506" w:rsidRPr="002B148E" w14:paraId="19FECE18" w14:textId="77777777" w:rsidTr="00A02EA7">
        <w:trPr>
          <w:trHeight w:val="284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2F440" w14:textId="02A1F3AD" w:rsidR="00162506" w:rsidRPr="002B148E" w:rsidRDefault="00162506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10E0C" w14:textId="77777777" w:rsidR="00162506" w:rsidRPr="002B148E" w:rsidRDefault="00162506" w:rsidP="00425754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8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F94B12F" w14:textId="6677F7FC" w:rsidR="00162506" w:rsidRDefault="00162506" w:rsidP="00425754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95" w:type="dxa"/>
            <w:tcBorders>
              <w:bottom w:val="single" w:sz="8" w:space="0" w:color="000000"/>
              <w:right w:val="single" w:sz="8" w:space="0" w:color="000000"/>
            </w:tcBorders>
          </w:tcPr>
          <w:p w14:paraId="665E3535" w14:textId="22154573" w:rsidR="00162506" w:rsidRDefault="00162506" w:rsidP="00425754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Reviewed and revised hazards in new format and combined risk</w:t>
            </w:r>
            <w:r w:rsidR="00644CA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613" w:type="dxa"/>
            <w:tcBorders>
              <w:bottom w:val="single" w:sz="8" w:space="0" w:color="000000"/>
              <w:right w:val="single" w:sz="8" w:space="0" w:color="000000"/>
            </w:tcBorders>
          </w:tcPr>
          <w:p w14:paraId="472C29FD" w14:textId="55E1CD8A" w:rsidR="00162506" w:rsidRDefault="00644CAC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James Avery ( Secretary)</w:t>
            </w:r>
          </w:p>
        </w:tc>
        <w:tc>
          <w:tcPr>
            <w:tcW w:w="264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0453B2CB" w14:textId="1A933608" w:rsidR="00162506" w:rsidRPr="002B148E" w:rsidRDefault="00644CAC" w:rsidP="0042575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Next review June 2020</w:t>
            </w:r>
          </w:p>
        </w:tc>
      </w:tr>
    </w:tbl>
    <w:p w14:paraId="1F189D64" w14:textId="77777777" w:rsidR="00A411F8" w:rsidRPr="004729D1" w:rsidRDefault="00A411F8" w:rsidP="00BA00C4">
      <w:pPr>
        <w:spacing w:after="0" w:line="240" w:lineRule="atLeast"/>
        <w:rPr>
          <w:rFonts w:eastAsia="Times New Roman" w:cs="Arial"/>
          <w:sz w:val="20"/>
          <w:szCs w:val="20"/>
          <w:lang w:eastAsia="en-GB"/>
        </w:rPr>
      </w:pPr>
    </w:p>
    <w:tbl>
      <w:tblPr>
        <w:tblW w:w="15860" w:type="dxa"/>
        <w:tblInd w:w="4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669"/>
        <w:gridCol w:w="1683"/>
        <w:gridCol w:w="6695"/>
        <w:gridCol w:w="2613"/>
        <w:gridCol w:w="2641"/>
      </w:tblGrid>
      <w:tr w:rsidR="00B66D51" w:rsidRPr="002B148E" w14:paraId="47B3CF35" w14:textId="77777777" w:rsidTr="00F30776">
        <w:trPr>
          <w:trHeight w:val="284"/>
        </w:trPr>
        <w:tc>
          <w:tcPr>
            <w:tcW w:w="559" w:type="dxa"/>
            <w:tcBorders>
              <w:left w:val="single" w:sz="8" w:space="0" w:color="000000"/>
              <w:right w:val="single" w:sz="8" w:space="0" w:color="000000"/>
            </w:tcBorders>
          </w:tcPr>
          <w:p w14:paraId="376522C4" w14:textId="77777777" w:rsidR="00B66D51" w:rsidRPr="002B148E" w:rsidRDefault="00B66D51" w:rsidP="00F3077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8" w:space="0" w:color="000000"/>
              <w:right w:val="single" w:sz="8" w:space="0" w:color="000000"/>
            </w:tcBorders>
            <w:hideMark/>
          </w:tcPr>
          <w:p w14:paraId="3DF3925F" w14:textId="77777777" w:rsidR="00B66D51" w:rsidRPr="002B148E" w:rsidRDefault="00B66D51" w:rsidP="00F30776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  <w:r w:rsidRPr="002B148E">
              <w:rPr>
                <w:rFonts w:asciiTheme="minorHAnsi" w:hAnsiTheme="minorHAnsi" w:cstheme="minorHAnsi"/>
                <w:b/>
                <w:bCs/>
              </w:rPr>
              <w:t>ISSUE:</w:t>
            </w:r>
          </w:p>
        </w:tc>
        <w:tc>
          <w:tcPr>
            <w:tcW w:w="1683" w:type="dxa"/>
            <w:tcBorders>
              <w:right w:val="single" w:sz="8" w:space="0" w:color="000000"/>
            </w:tcBorders>
            <w:vAlign w:val="center"/>
            <w:hideMark/>
          </w:tcPr>
          <w:p w14:paraId="444316D6" w14:textId="1442BD57" w:rsidR="00B66D51" w:rsidRDefault="00B66D51" w:rsidP="00F30776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  <w:p w14:paraId="5CCFDECA" w14:textId="77777777" w:rsidR="00B66D51" w:rsidRPr="002B148E" w:rsidRDefault="00B66D51" w:rsidP="00F30776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95" w:type="dxa"/>
            <w:tcBorders>
              <w:right w:val="single" w:sz="8" w:space="0" w:color="000000"/>
            </w:tcBorders>
            <w:hideMark/>
          </w:tcPr>
          <w:p w14:paraId="2DA2DD6D" w14:textId="181FB8F7" w:rsidR="00B66D51" w:rsidRPr="002B148E" w:rsidRDefault="00B66D51" w:rsidP="00B66D51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Reviewed 20/11/2021</w:t>
            </w:r>
          </w:p>
        </w:tc>
        <w:tc>
          <w:tcPr>
            <w:tcW w:w="2613" w:type="dxa"/>
            <w:tcBorders>
              <w:right w:val="single" w:sz="8" w:space="0" w:color="000000"/>
            </w:tcBorders>
            <w:hideMark/>
          </w:tcPr>
          <w:p w14:paraId="53DF784D" w14:textId="77777777" w:rsidR="00B66D51" w:rsidRDefault="00B66D51" w:rsidP="00B66D51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Reviewed by: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Robin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Razell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(social secretary)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C15639B" w14:textId="452EA0FD" w:rsidR="00B66D51" w:rsidRPr="002B148E" w:rsidRDefault="00B66D51" w:rsidP="00B66D51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Graham Smith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(Commodore)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hideMark/>
          </w:tcPr>
          <w:p w14:paraId="3B9B1650" w14:textId="77777777" w:rsidR="00B66D51" w:rsidRPr="002B148E" w:rsidRDefault="00B66D51" w:rsidP="00F3077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6D51" w:rsidRPr="002B148E" w14:paraId="643C9733" w14:textId="77777777" w:rsidTr="00F30776">
        <w:trPr>
          <w:trHeight w:val="284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0FD6B" w14:textId="77777777" w:rsidR="00B66D51" w:rsidRPr="002B148E" w:rsidRDefault="00B66D51" w:rsidP="00F3077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6D18F" w14:textId="77777777" w:rsidR="00B66D51" w:rsidRPr="002B148E" w:rsidRDefault="00B66D51" w:rsidP="00F30776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8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EC20CB4" w14:textId="77777777" w:rsidR="00B66D51" w:rsidRDefault="00B66D51" w:rsidP="00F30776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95" w:type="dxa"/>
            <w:tcBorders>
              <w:bottom w:val="single" w:sz="8" w:space="0" w:color="000000"/>
              <w:right w:val="single" w:sz="8" w:space="0" w:color="000000"/>
            </w:tcBorders>
          </w:tcPr>
          <w:p w14:paraId="456E203E" w14:textId="17DD263E" w:rsidR="00B66D51" w:rsidRDefault="00B66D51" w:rsidP="00F30776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  <w:tcBorders>
              <w:bottom w:val="single" w:sz="8" w:space="0" w:color="000000"/>
              <w:right w:val="single" w:sz="8" w:space="0" w:color="000000"/>
            </w:tcBorders>
          </w:tcPr>
          <w:p w14:paraId="2CD7D5F9" w14:textId="635D92FF" w:rsidR="00B66D51" w:rsidRDefault="00B66D51" w:rsidP="00F3077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</w:tcPr>
          <w:p w14:paraId="6F387710" w14:textId="22D51399" w:rsidR="00B66D51" w:rsidRPr="002B148E" w:rsidRDefault="00B66D51" w:rsidP="00F3077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Next review June 2022</w:t>
            </w:r>
          </w:p>
        </w:tc>
      </w:tr>
    </w:tbl>
    <w:p w14:paraId="0E5AC46C" w14:textId="77777777" w:rsidR="00A411F8" w:rsidRPr="004729D1" w:rsidRDefault="00A411F8" w:rsidP="00BA00C4">
      <w:pPr>
        <w:spacing w:after="0" w:line="240" w:lineRule="atLeast"/>
        <w:rPr>
          <w:rFonts w:eastAsia="Times New Roman" w:cs="Arial"/>
          <w:sz w:val="20"/>
          <w:szCs w:val="20"/>
          <w:lang w:eastAsia="en-GB"/>
        </w:rPr>
      </w:pPr>
    </w:p>
    <w:p w14:paraId="7752570D" w14:textId="77777777" w:rsidR="00BB13B0" w:rsidRDefault="00BB13B0"/>
    <w:sectPr w:rsidR="00BB13B0" w:rsidSect="00A411F8">
      <w:pgSz w:w="16838" w:h="11906" w:orient="landscape"/>
      <w:pgMar w:top="1440" w:right="1440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C4"/>
    <w:rsid w:val="00070689"/>
    <w:rsid w:val="00071263"/>
    <w:rsid w:val="00115E5F"/>
    <w:rsid w:val="00162506"/>
    <w:rsid w:val="001920F7"/>
    <w:rsid w:val="00220945"/>
    <w:rsid w:val="00260108"/>
    <w:rsid w:val="002A6ADD"/>
    <w:rsid w:val="002B148E"/>
    <w:rsid w:val="002C3324"/>
    <w:rsid w:val="002D771C"/>
    <w:rsid w:val="003058B8"/>
    <w:rsid w:val="00317AC5"/>
    <w:rsid w:val="003A391B"/>
    <w:rsid w:val="003C6E42"/>
    <w:rsid w:val="003E742A"/>
    <w:rsid w:val="00425754"/>
    <w:rsid w:val="00470687"/>
    <w:rsid w:val="004729D1"/>
    <w:rsid w:val="00546C17"/>
    <w:rsid w:val="005C2F75"/>
    <w:rsid w:val="006214F9"/>
    <w:rsid w:val="00644CAC"/>
    <w:rsid w:val="00705BA8"/>
    <w:rsid w:val="00743387"/>
    <w:rsid w:val="00891E61"/>
    <w:rsid w:val="00892187"/>
    <w:rsid w:val="008E22C7"/>
    <w:rsid w:val="008E7133"/>
    <w:rsid w:val="009202F9"/>
    <w:rsid w:val="00920673"/>
    <w:rsid w:val="00936F21"/>
    <w:rsid w:val="009937A3"/>
    <w:rsid w:val="009D76A9"/>
    <w:rsid w:val="00A02EA7"/>
    <w:rsid w:val="00A411F8"/>
    <w:rsid w:val="00A502B0"/>
    <w:rsid w:val="00A57D0C"/>
    <w:rsid w:val="00AC7902"/>
    <w:rsid w:val="00B5623F"/>
    <w:rsid w:val="00B66D51"/>
    <w:rsid w:val="00B9261A"/>
    <w:rsid w:val="00BA00C4"/>
    <w:rsid w:val="00BB13B0"/>
    <w:rsid w:val="00C20EFE"/>
    <w:rsid w:val="00C67889"/>
    <w:rsid w:val="00CA0325"/>
    <w:rsid w:val="00D53FAC"/>
    <w:rsid w:val="00D8773D"/>
    <w:rsid w:val="00DA241D"/>
    <w:rsid w:val="00DF1ABE"/>
    <w:rsid w:val="00E603B0"/>
    <w:rsid w:val="00E6319C"/>
    <w:rsid w:val="00E7061B"/>
    <w:rsid w:val="00EF09F4"/>
    <w:rsid w:val="00EF43B2"/>
    <w:rsid w:val="00F71831"/>
    <w:rsid w:val="00F958DA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ED65E"/>
  <w15:docId w15:val="{52D29961-2C60-4A15-B7F2-4D730636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FAC"/>
    <w:rPr>
      <w:rFonts w:ascii="Arial" w:hAnsi="Arial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E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A00C4"/>
    <w:pPr>
      <w:spacing w:before="100" w:beforeAutospacing="1" w:after="62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owt-stl-1text">
    <w:name w:val="qowt-stl-1text"/>
    <w:basedOn w:val="Normal"/>
    <w:rsid w:val="00BA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BA00C4"/>
  </w:style>
  <w:style w:type="character" w:customStyle="1" w:styleId="qowt-font5-arialnarrow">
    <w:name w:val="qowt-font5-arialnarrow"/>
    <w:basedOn w:val="DefaultParagraphFont"/>
    <w:rsid w:val="00BA00C4"/>
  </w:style>
  <w:style w:type="paragraph" w:customStyle="1" w:styleId="qowt-stl-normal">
    <w:name w:val="qowt-stl-normal"/>
    <w:basedOn w:val="Normal"/>
    <w:rsid w:val="00BA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qowt-stl-hyperlink">
    <w:name w:val="qowt-stl-hyperlink"/>
    <w:basedOn w:val="DefaultParagraphFont"/>
    <w:rsid w:val="00BA00C4"/>
  </w:style>
  <w:style w:type="paragraph" w:customStyle="1" w:styleId="qowt-stl-header">
    <w:name w:val="qowt-stl-header"/>
    <w:basedOn w:val="Normal"/>
    <w:rsid w:val="00BA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00C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BA00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C6E4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C6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0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Graham Smith</cp:lastModifiedBy>
  <cp:revision>3</cp:revision>
  <dcterms:created xsi:type="dcterms:W3CDTF">2022-02-01T17:03:00Z</dcterms:created>
  <dcterms:modified xsi:type="dcterms:W3CDTF">2022-02-01T17:04:00Z</dcterms:modified>
</cp:coreProperties>
</file>